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39 vom 18. Februar 2025</w:t>
      </w:r>
    </w:p>
    <w:p>
      <w:r>
        <w:t>VS Kantonsgericht, 2025-02-18, FR</w:t>
      </w:r>
    </w:p>
    <w:p>
      <w:r>
        <w:rPr>
          <w:b/>
        </w:rPr>
        <w:t xml:space="preserve">Quelle: </w:t>
      </w:r>
      <w:r>
        <w:t>https://mcp.opencaselaw.ch/entscheid/vs_gerichte_S2 23 39</w:t>
      </w:r>
    </w:p>
    <w:p>
      <w:r>
        <w:t>FR: VS_GERICHTE S2 23 39 du 18 février 2025</w:t>
      </w:r>
    </w:p>
    <w:p>
      <w:r>
        <w:t>IT: VS_GERICHTE S2 23 39 del 18 febbraio 2025</w:t>
      </w:r>
    </w:p>
    <w:p>
      <w:pPr>
        <w:pStyle w:val="Heading2"/>
      </w:pPr>
      <w:r>
        <w:t>Regeste</w:t>
      </w:r>
    </w:p>
    <w:p>
      <w:r>
        <w:t>S2 23 39 ARRET DU 18 FEVRIER 2025 Tribunal cantonal du Valais Cour des assurances sociales Composition : Candido Prada, président ; Frédéric Fellay et Christophe Joris, juges ; Ferdinand Vanay, greffier ; en la cause X _________, recourant, représenté par Maître Marie Franzetti, avocate à Sion, contre CAISSE NATIONALE SUISSE D'ASSURANCE EN CAS D'ACCIDENTS (CNA), intimée. (assurance-accidents ; notion d’accident)</w:t>
      </w:r>
    </w:p>
    <w:p>
      <w:pPr>
        <w:pStyle w:val="Heading2"/>
      </w:pPr>
      <w:r>
        <w:t>Erwägungen</w:t>
      </w:r>
    </w:p>
    <w:p>
      <w:r>
        <w:rPr>
          <w:b/>
        </w:rPr>
        <w:t>E. 1.1</w:t>
      </w:r>
    </w:p>
    <w:p>
      <w:r>
        <w:t>Selon l'article 1 alinéa 1 LAA, les dispositions de la LPGA s'appliquent à l'assurance- accidents, à moins que la LAA n'y déroge expressément.</w:t>
      </w:r>
    </w:p>
    <w:p>
      <w:r>
        <w:rPr>
          <w:b/>
        </w:rPr>
        <w:t>E. 1.2</w:t>
      </w:r>
    </w:p>
    <w:p>
      <w:r>
        <w:t>Posté le 4 mai 2023, le recours à l'encontre de la décision sur opposition du 13 avril précédent a été interjeté dans le délai légal de trente jours (art. 60 LPGA) devant la Cour de céans, compétente à raison du lieu et de la matière (art. 56, 57 et 58 LPGA ; art. 81a al. 1 LPJA). Il répond par ailleurs aux autres conditions formelles de recevabilité (art. 61 let. b LPGA), de sorte qu’il convient d’entrer en matière.</w:t>
      </w:r>
    </w:p>
    <w:p>
      <w:r>
        <w:rPr>
          <w:b/>
        </w:rPr>
        <w:t>E. 1.3</w:t>
      </w:r>
    </w:p>
    <w:p>
      <w:r>
        <w:t>Faisant usage d’un droit que la loi lui reconnaît (art. 56 al. 1, 17 al. 2 et 19 al. 1 LPJA), le recourant sollicite, à titre de moyen de preuve, l’édition du dossier de la CNA. Cette requête est satisfaite, puisque l’intimée a déposé céans ce dossier, le 6 juin 2023.</w:t>
      </w:r>
    </w:p>
    <w:p>
      <w:r>
        <w:rPr>
          <w:b/>
        </w:rPr>
        <w:t>E. 2</w:t>
      </w:r>
    </w:p>
    <w:p>
      <w:r>
        <w:t>Le litige porte sur le droit du recourant à la prise en charge des suites de l’événement du 14 novembre 2022 et plus particulièrement sur le point de savoir s’il s’agit d’un accident au sens de la LAA.</w:t>
      </w:r>
    </w:p>
    <w:p>
      <w:r>
        <w:rPr>
          <w:b/>
        </w:rPr>
        <w:t>E. 3.1</w:t>
      </w:r>
    </w:p>
    <w:p>
      <w:r>
        <w:t>Si la LAA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ou mentale (art. 4 LPGA).</w:t>
      </w:r>
    </w:p>
    <w:p>
      <w:r>
        <w:t>- 7 - Selon la jurisprudence, la notion d'accident se décompose ainsi en cinq éléments ou conditions qui doivent être cumulativement réalisés, à savoir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et que, cas échéant, l’atteinte dommageable doive alors être qualifiée de maladie (ATF 150 V 229 consid. 3 et les réf. cit.).</w:t>
      </w:r>
    </w:p>
    <w:p>
      <w:r>
        <w:rPr>
          <w:b/>
        </w:rPr>
        <w:t>E. 3.2</w:t>
      </w:r>
    </w:p>
    <w:p>
      <w:r>
        <w:t>Le facteur extérieur est la caractéristique centrale de tout événement accidentel. Il signifie que, pour qu’un tel événement puisse être qualifié d’accident, l’atteinte à la santé doit résulter d'une cause exogène au corps humain. Cet élément, qui s'oppose à la cause interne qui caractérise la maladie, permet de distinguer ces deux éventualités. La cause extérieure peut avoir des origines diverses, notamment de nature mécanique (un choc, une chute, etc. ; cf. p. ex. arrêt du Tribunal fédéral 8C_337/2024 du 29 novembre 2024 consid. 6.1). Pour admettre la présence d'un accident, il faut encore que ce facteur extérieur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dans le cas particulier, le cadre des événements et des situations que l'on peut, objectivement, qualifier de quotidiens ou d'habituels, autrement dit des incidents et péripéties de la vie courante (ATF 150 V 229 consid. 4.1.1 et les réf. cit.).</w:t>
      </w:r>
    </w:p>
    <w:p>
      <w:r>
        <w:rPr>
          <w:b/>
        </w:rPr>
        <w:t>E. 3.3</w:t>
      </w:r>
    </w:p>
    <w:p>
      <w:r>
        <w:t>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 consid. 2.1, cité p. ex. in arrêt du Tribunal fédéral 8C_159/2023 du 9 novembre 2023 consid. 3.2).</w:t>
      </w:r>
    </w:p>
    <w:p>
      <w:r>
        <w:t>- 8 -</w:t>
      </w:r>
    </w:p>
    <w:p>
      <w:r>
        <w:rPr>
          <w:b/>
        </w:rPr>
        <w:t>E. 3.3.1</w:t>
      </w:r>
    </w:p>
    <w:p>
      <w:r>
        <w:t>A titre d’exemple, le Tribunal fédéral a nié le facteur extraordinaire chez un assuré qui avait monté un petit escalier normal en tenant quelque chose à la main. Cette action n'avait rien d'inhabituel et l'affaissement du talon sur la marche inférieure ne constituait pas un incident particulier, ne dépassant pas le cadre de ce à quoi on pouvait s'attendre dans la situation initiale. En outre, l'assuré n'avait pas allégué qu'il n'aurait pas vu un pas, qu'il aurait perdu l'équilibre ou qu'il aurait marché dans le vide sans support. Il n'avait pas non plus fait valoir que la configuration de l'escalier aurait été particulière ou qu'il se serait trouvé dans un état particulier (p. ex. humide ou verglacé) en raison d'influences environnementales. Malgré l'atteinte à la santé qui s'était produite (rupture partielle du tendon d'Achille), le seul abaissement du talon lors de la montée quotidienne d'un escalier, sans autre perturbation, ne remplissait ainsi pas les exigences relatives au facteur extérieur indispensable à l'affirmation de la notion d'accident au sens de l'art. 4 LPGA (arrêt du Tribunal fédéral 8C_24/2022 du 20 septembre 2022).</w:t>
      </w:r>
    </w:p>
    <w:p>
      <w:r>
        <w:rPr>
          <w:b/>
        </w:rPr>
        <w:t>E. 3.3.2</w:t>
      </w:r>
    </w:p>
    <w:p>
      <w:r>
        <w:t>S’agissant d’événements survenus dans l’exercice de l’activité professionnelle, la jurisprudence prend, certes, en considération les habitudes professionnelles de l’assuré, mais elle le fait essentiellement dans le cadre des lésions dues à des efforts (soulèvement et déplacement de charges notamment) pour examiner si l'effort doit être considéré comme extraordinaire (cf. ATF 116 V 136 consid. 3b et les autres arrêts cités in arrêt du Tribunal fédéral 8C_404/2020 du 11 juin 2021 consid. 3.1). Dans l’affaire à laquelle le recourant se réfère, le Tribunal fédéral a qualifié d’accident une lésion au bras subie par un électricien survenue en retirant une prise électrique coincée. Il a relevé qu’il ressortait clairement des déclarations successives et concordantes de l'assuré qu'il avait ressenti une vive douleur au moment du mouvement brusque du bras, soit après que la résistance avait cédé, et non lorsqu'il avait fourni un effort pour retirer le câble. Il a aussi précisé que, dans ce cas, le point de vue selon lequel les lésions de l'intimé auraient en réalité été dues à l'effort déployé n'était pas étayé sur le plan médical (arrêt du Tribunal fédéral 8C_791/2018 du 19 août 2019 consid. 5.1). Pour le reste, le déroulement non contesté des faits indiquait qu’en voulant extraire un câble électrique d'une prise, l’assuré avait rencontré une certaine résistance, laquelle avait cédé soudainement, provoquant un mouvement latéral brusque et violent de son bras gauche. On se trouvait dès lors clairement en présence d'un mouvement non maîtrisable d'un point de vue physiologique, soit un empêchement non programmé et lié à l'environnement extérieur (l'effet de résistance) entravant le déroulement naturel du mouvement corporel. Dans ce cas, l'existence d'un facteur extraordinaire devait être admise étant donné que le facteur extérieur – la modification entre le corps et</w:t>
      </w:r>
    </w:p>
    <w:p>
      <w:r>
        <w:t>- 9 - l'environnement extérieur – constituait en même temps le facteur extraordinaire en raison du déroulement non programmé du mouvement (arrêt précité consid. 5.2).</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(ATF 139 V 176 consid. 5.3).</w:t>
      </w:r>
    </w:p>
    <w:p>
      <w:r>
        <w:rPr>
          <w:b/>
        </w:rPr>
        <w:t>E. 4.1</w:t>
      </w:r>
    </w:p>
    <w:p>
      <w:r>
        <w:t>En l’occurrence, l’intimée a nié l’existence d’un facteur extérieur extraordinaire. Elle a retenu que le fait de tirer une torche de câbles électriques, même en faisant un mouvement latéral de force, n’avait rien d’extraordinaire pour un installateur électricien expérimenté, ce que l’assuré avait d’ailleurs confirmé en précisant avoir déjà à plusieurs reprises exécuté ce type de travail auparavant. Elle a relevé que le cas d’espèce était différent de celui ayant conduit à l’arrêt 8C_791/2018 précité car, dans ses premières déclarations, le recourant n’avait jamais affirmé avoir subi un brusque mouvement incontrôlé ou avoir été victime d’un début de chute (cf. décision sur opposition consid. 2). Au surplus, l’expérience médicale montrait que pratiquement toutes les hernies discales s’inséraient dans un contexte d’altération des disques intervertébraux d’origine dégénérative, un événement accidentel n’apparaissant qu’exceptionnellement et pour autant que certaines conditions particulières étaient réalisées comme la cause proprement dite d’une telle atteinte (cf. décision sur opposition consid. 6).</w:t>
      </w:r>
    </w:p>
    <w:p>
      <w:r>
        <w:rPr>
          <w:b/>
        </w:rPr>
        <w:t>E. 4.2</w:t>
      </w:r>
    </w:p>
    <w:p>
      <w:r>
        <w:t>Le recourant conteste ce point de vue. Il relève avoir fait valoir, dès les premières déclarations, que l’atteinte à sa santé était survenue en raison d’un déséquilibre, alors qu’il essayait de se rattraper sur une échelle après avoir tiré sur un câble. Selon lui, contrairement à ce qu’a retenu l’intimée, ses déclarations permettent de comprendre qu’il était sur le point de chuter lorsqu’il a exécuté un mouvement non coordonné qui a causé l’atteinte à sa santé.</w:t>
      </w:r>
    </w:p>
    <w:p>
      <w:r>
        <w:rPr>
          <w:b/>
        </w:rPr>
        <w:t>E. 4.2.1</w:t>
      </w:r>
    </w:p>
    <w:p>
      <w:r>
        <w:t>Selon la description des faits figurant dans la déclaration d'accident du 16 novembre 2022, l’intéressé « était en train de manipuler une torche de câble sur une échelle et a effectué un mauvais mouvement ce qui lui a déclenché une douleur dans la nuque » (cf. pièce no 1). Cette description met clairement en relation de cause à effet un mouvement lié à la manipulation des câbles et la douleur dans la nuque : c’est un</w:t>
      </w:r>
    </w:p>
    <w:p>
      <w:r>
        <w:t>- 10 - « mauvais mouvement » de l’assuré qui a causé l’atteinte à la santé. A aucun moment, un facteur extérieur extraordinaire de nature mécanique, tels qu’un déséquilibre, une chute ou un effet de résistance, n’est mentionné. Quelques jours après l’accident, l’assuré a rempli un formulaire pour cas de sinistre. A la question « Veuillez décrire le déroulement précis de l’accident », il a répondu : « Je me trouvais sur une échelle pour tirer une torche de câble électrique, ayant fait un mouvement latérale en force, j’ai ressenti une tension direct à la nuque » (cf. pièce no 6). Il y a également lieu d’observer que, comme dans la déclaration d’accident précitée, aucune cause extraordinaire liée à l'environnement extérieur n’est mentionnée pour expliquer l’origine de l’atteinte à la santé : c’est un mouvement de force latérale qui a entraîné une douleur. Contrairement à ce qu’affirme le recourant, ces deux pièces permettent donc d’accréditer la version des faits retenue par l’intimée, à savoir que l’atteinte à la santé est survenue sans qu’un facteur extérieur extraordinaire n’en soit à l’origine. On peut en effet objectivement retenir que, si une telle cause extérieure était intervenue, telle qu’une situation de déséquilibre, la déclaration LAA de l’employeur et/ou celle de l’assuré quelques jours plus tard en auraient d’emblée fait mention.</w:t>
      </w:r>
    </w:p>
    <w:p>
      <w:r>
        <w:rPr>
          <w:b/>
        </w:rPr>
        <w:t>E. 4.2.2</w:t>
      </w:r>
    </w:p>
    <w:p>
      <w:r>
        <w:t>Dans sa réplique, le recourant soutient que la description des faits à l’origine de l’accident peut néanmoins expliquer la situation extraordinaire de déséquilibre dans laquelle il a allégué se trouver, en raison du fait qu’il était sur une échelle et qu’il avait brusquement tiré sur un câble qui résistait. Certes, on peut objectivement retenir qu’effectuer un mouvement latéral requérant de la force sur une échelle comporte un certain risque d’entraîner une situation de déséquilibre. Néanmoins, cela ne signifie pas encore qu’une atteinte à la santé survenue dans de telles circonstances est à attribuer, au degré de la vraisemblance prépondérante, à un déséquilibre. En effet, la réalisation de ce risque dépend de nombreux facteurs liés tant à la personne qui réalise le mouvement, qu’à la force de ce mouvement, à l’environnement immédiat ou à la façon dont l’échelle a été placée, respectivement a été sécurisée. Il est donc tout à fait possible que, comme l’a retenu ici l’intimée, une atteinte à la colonne cervicale puisse être causée par l’effet d’un mauvais mouvement de force, sans intervention d’un facteur extérieur. Dans le cas particulier, il est frappant de constater que les premières descriptions de l’événement du 14 novembre 2022 – qui sont concordantes entre la déclaration de sinistre LAA et le formulaire rempli par l’assuré – ne font aucunement mention d’une situation de déséquilibre (ou d’un autre</w:t>
      </w:r>
    </w:p>
    <w:p>
      <w:r>
        <w:t>- 11 - facteur externe) qui aurait participé à la survenance de l’atteinte à la santé. Une telle mention ressort pour la première fois du rapport initial LAA établi par le Dr C _________, le 3 janvier 2023 (cf. pièce no 11), soit plus d’un mois et demi après les faits. Or, on rappellera que, selon la jurisprudence, il convient en principe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arrêts cités). L’intimée s’est donc fiée à bon droit à ces premières descriptions, plutôt qu’à celles qui ont été énoncées par la suite.</w:t>
      </w:r>
    </w:p>
    <w:p>
      <w:r>
        <w:rPr>
          <w:b/>
        </w:rPr>
        <w:t>E. 4.2.3</w:t>
      </w:r>
    </w:p>
    <w:p>
      <w:r>
        <w:t>Cela étant, le recourant s’attaque en vain (cf. mémoire de recours p. 8 s.) à l’argument de l’intimée qui relevait que le fait de tirer sur un câble n’avait, même en faisant un mouvement latéral de force, rien d’extraordinaire pour un électricien expérimenté (cf. décision sur opposition consid. 2). En effet, du moment que l’existence d’un facteur extérieur n’a pas été rendue hautement vraisemblable, le refus de l’intimée de prester échappe à la critique. De même, c’est à tort que le recourant affirme que le cas d’espèce est superposable à celui qui a fait l’objet de l’arrêt 8C_791/2018 (cf. mémoire de recours p. 9 s.). L’absence de mouvement non coordonné résultant d’un facteur extérieur distingue en effet le cas d’espèce de celui précité. On relèvera en outre que, dans le cas invoqué par l’intéressé, la brusque interruption de l’effet de résistance (« la prise était sortie d’un coup ») avait entraîné un mouvement non coordonné. In casu, il ne ressort pas des pièces au dossier que les câbles sur lesquels le recourant tirait auraient brusquement « lâché » (cf. déclaration de sinistre LAA, sous pièce no 1 ; formulaire pour cas de sinistre, sous pièce no 6).</w:t>
      </w:r>
    </w:p>
    <w:p>
      <w:r>
        <w:rPr>
          <w:b/>
        </w:rPr>
        <w:t>E. 4.3</w:t>
      </w:r>
    </w:p>
    <w:p>
      <w:r>
        <w:t>Enfin, le recourant critique l’opinion de l’intimée, selon laquelle pratiquement toutes les hernies discales s’insèrent dans un contexte d’altération des disques intervertébraux d’origine dégénérative, un événement accidentel n’apparaissant qu’exceptionnellement, et pour autant que certaines conditions particulières sont réalisées, comme la cause proprement dite d’une telle atteinte. A cet égard, l’intéressé se réfère à plusieurs sources médicales pour soutenir qu’une hernie cervicale peut être usuellement causée notamment par un mouvement brusque (non coordonné ; cf. mémoire de recours p. 10 s.). Ce grief tombe à faux puisque, même s’il faut admettre qu’un mouvement tel que celui exécuté par l’assuré le 14 novembre 2022 peut entraîner une hernie cervicale, il n’en</w:t>
      </w:r>
    </w:p>
    <w:p>
      <w:r>
        <w:t>- 12 - demeure pas moins qu’en l’espèce, aucun facteur extérieur extraordinaire n’a participé à la survenance de cette atteinte à la santé. Il s’ensuit que ce motif n’est pas de nature à ébranler la décision de l’intimée qui exclut que l’on se trouve en présence d’un accident au sens de la LAA. Quant au point de savoir dans quelle mesure des troubles dégénératifs préexistants ont pu causer l’atteinte en C5/C6 à l’origine de l’arrêt de travail temporaire, il a trait à la problématique de la causalité, laquelle ne se pose pas in casu vu que l’événement en question ne peut pas être qualifié d’accident.</w:t>
      </w:r>
    </w:p>
    <w:p>
      <w:r>
        <w:rPr>
          <w:b/>
        </w:rPr>
        <w:t>E. 4.4</w:t>
      </w:r>
    </w:p>
    <w:p>
      <w:r>
        <w:t>Attendu ce qui précède, l’intimée n’a pas violé la loi en estimant que les circonstances qui ont donné naissance à l'atteinte dommageable à la colonne cervicale ne relèvent pas d'un accident au sens juridique du terme, faute d’un facteur extérieur extraordinaire.</w:t>
      </w:r>
    </w:p>
    <w:p>
      <w:r>
        <w:rPr>
          <w:b/>
        </w:rPr>
        <w:t>E. 5.1</w:t>
      </w:r>
    </w:p>
    <w:p>
      <w:r>
        <w:t>Mal fondé, le recours est rejeté.</w:t>
      </w:r>
    </w:p>
    <w:p>
      <w:r>
        <w:rPr>
          <w:b/>
        </w:rPr>
        <w:t>E. 5.2</w:t>
      </w:r>
    </w:p>
    <w:p>
      <w:r>
        <w:t>Il n’est pas perçu de frais (art. 61 let. fbis LPGA), la loi spéciale, en l’occurrence la LAA, ne prévoyant pas le prélèvement de frais. Vu l’issue de la cause,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